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outlineLvl w:val="9"/>
        <w:rPr>
          <w:rFonts w:ascii="仿宋" w:hAnsi="仿宋" w:eastAsia="仿宋" w:cs="仿宋"/>
          <w:sz w:val="72"/>
          <w:szCs w:val="72"/>
        </w:rPr>
      </w:pPr>
      <w:bookmarkStart w:id="0" w:name="_Toc20474"/>
      <w:bookmarkStart w:id="1" w:name="_Toc29492"/>
      <w:bookmarkStart w:id="2" w:name="_Toc23490"/>
    </w:p>
    <w:p>
      <w:pPr>
        <w:pStyle w:val="3"/>
        <w:rPr>
          <w:rFonts w:ascii="仿宋" w:hAnsi="仿宋" w:eastAsia="仿宋" w:cs="仿宋"/>
          <w:sz w:val="72"/>
          <w:szCs w:val="72"/>
        </w:rPr>
      </w:pPr>
    </w:p>
    <w:p/>
    <w:p/>
    <w:p/>
    <w:p>
      <w:pPr>
        <w:numPr>
          <w:ilvl w:val="0"/>
          <w:numId w:val="0"/>
        </w:numPr>
        <w:jc w:val="center"/>
        <w:outlineLvl w:val="9"/>
        <w:rPr>
          <w:rFonts w:hint="eastAsia" w:ascii="仿宋" w:hAnsi="仿宋" w:eastAsia="仿宋" w:cs="仿宋"/>
          <w:sz w:val="52"/>
          <w:szCs w:val="52"/>
          <w:lang w:eastAsia="zh-CN"/>
        </w:rPr>
      </w:pPr>
      <w:bookmarkStart w:id="3" w:name="_Toc30092"/>
      <w:r>
        <w:rPr>
          <w:rFonts w:hint="eastAsia" w:ascii="仿宋" w:hAnsi="仿宋" w:eastAsia="仿宋" w:cs="仿宋"/>
          <w:sz w:val="72"/>
          <w:szCs w:val="72"/>
          <w:lang w:val="en-US" w:eastAsia="zh-CN"/>
        </w:rPr>
        <w:t>广东省岭南工商第一技师学院监控设备与监控维保服务项目</w:t>
      </w:r>
    </w:p>
    <w:p>
      <w:pPr>
        <w:numPr>
          <w:ilvl w:val="0"/>
          <w:numId w:val="0"/>
        </w:numPr>
        <w:jc w:val="center"/>
        <w:outlineLvl w:val="9"/>
        <w:rPr>
          <w:rFonts w:hint="eastAsia" w:ascii="仿宋" w:hAnsi="仿宋" w:eastAsia="仿宋" w:cs="仿宋"/>
          <w:sz w:val="72"/>
          <w:szCs w:val="72"/>
        </w:rPr>
      </w:pPr>
    </w:p>
    <w:p>
      <w:pPr>
        <w:pStyle w:val="3"/>
        <w:rPr>
          <w:rFonts w:hint="eastAsia" w:ascii="仿宋" w:hAnsi="仿宋" w:eastAsia="仿宋" w:cs="仿宋"/>
          <w:sz w:val="72"/>
          <w:szCs w:val="72"/>
        </w:rPr>
      </w:pPr>
    </w:p>
    <w:p>
      <w:pPr>
        <w:rPr>
          <w:rFonts w:hint="eastAsia" w:ascii="仿宋" w:hAnsi="仿宋" w:eastAsia="仿宋" w:cs="仿宋"/>
          <w:sz w:val="72"/>
          <w:szCs w:val="72"/>
        </w:rPr>
      </w:pPr>
    </w:p>
    <w:p>
      <w:pPr>
        <w:rPr>
          <w:rFonts w:hint="eastAsia"/>
        </w:rPr>
      </w:pPr>
      <w:bookmarkStart w:id="6" w:name="_GoBack"/>
      <w:bookmarkEnd w:id="6"/>
    </w:p>
    <w:p>
      <w:pPr>
        <w:numPr>
          <w:ilvl w:val="0"/>
          <w:numId w:val="0"/>
        </w:numPr>
        <w:jc w:val="center"/>
        <w:outlineLvl w:val="9"/>
        <w:rPr>
          <w:rFonts w:ascii="仿宋" w:hAnsi="仿宋" w:eastAsia="仿宋" w:cs="仿宋"/>
          <w:b w:val="0"/>
          <w:bCs/>
          <w:sz w:val="36"/>
          <w:szCs w:val="36"/>
        </w:rPr>
      </w:pPr>
      <w:r>
        <w:rPr>
          <w:rFonts w:hint="eastAsia" w:ascii="仿宋" w:hAnsi="仿宋" w:eastAsia="仿宋" w:cs="仿宋"/>
          <w:sz w:val="72"/>
          <w:szCs w:val="72"/>
          <w:lang w:val="en-US" w:eastAsia="zh-CN"/>
        </w:rPr>
        <w:t>基本</w:t>
      </w:r>
      <w:r>
        <w:rPr>
          <w:rFonts w:hint="eastAsia" w:ascii="仿宋" w:hAnsi="仿宋" w:eastAsia="仿宋" w:cs="仿宋"/>
          <w:sz w:val="72"/>
          <w:szCs w:val="72"/>
        </w:rPr>
        <w:t>需求</w:t>
      </w:r>
      <w:bookmarkEnd w:id="0"/>
      <w:bookmarkEnd w:id="1"/>
      <w:bookmarkEnd w:id="2"/>
      <w:bookmarkEnd w:id="3"/>
    </w:p>
    <w:p>
      <w:pPr>
        <w:numPr>
          <w:ilvl w:val="0"/>
          <w:numId w:val="0"/>
        </w:numPr>
        <w:jc w:val="center"/>
        <w:outlineLvl w:val="9"/>
        <w:rPr>
          <w:rFonts w:ascii="仿宋" w:hAnsi="仿宋" w:eastAsia="仿宋" w:cs="仿宋"/>
          <w:b w:val="0"/>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rPr>
          <w:rFonts w:ascii="仿宋" w:hAnsi="仿宋" w:eastAsia="仿宋" w:cs="仿宋"/>
          <w:bCs/>
          <w:sz w:val="36"/>
          <w:szCs w:val="36"/>
        </w:rPr>
      </w:pPr>
    </w:p>
    <w:p>
      <w:pPr>
        <w:jc w:val="both"/>
      </w:pPr>
    </w:p>
    <w:p>
      <w:pPr>
        <w:rPr>
          <w:rFonts w:hint="eastAsia"/>
          <w:lang w:val="en-US" w:eastAsia="zh-CN"/>
        </w:rPr>
      </w:pPr>
      <w:r>
        <w:rPr>
          <w:rFonts w:hint="eastAsia"/>
          <w:lang w:val="en-US" w:eastAsia="zh-CN"/>
        </w:rPr>
        <w:br w:type="page"/>
      </w:r>
    </w:p>
    <w:p>
      <w:pPr>
        <w:bidi w:val="0"/>
        <w:spacing w:line="360" w:lineRule="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一、项目背景</w:t>
      </w:r>
    </w:p>
    <w:p>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广东省岭南工商第一技师学院(广东省岭南工商第一高级技工学校)位于广州市花都汽车产业基地园区，学院创办于1974年，是省人力资源和社会保障厅直属管理的省财政拨款公办国家级重点综合型技师学院、目前占地面积320多亩，建筑面积12万多平方米，现有在校生近万人。学院是广东省2010年首批“国家中等职业教育改革发展示范学校”七所技工院校之一、“广东省首批校企双制示范创建院校”，曾荣获“全国教育系统先进单位”、“全国技工院校先进集体”等荣誉称号。2021年7月，学院被广东省人社厅确定为全省首批创全国一流的十所高水平技师学院创建单位之一。</w:t>
      </w:r>
    </w:p>
    <w:p>
      <w:pPr>
        <w:bidi w:val="0"/>
        <w:spacing w:line="360" w:lineRule="auto"/>
        <w:outlineLvl w:val="0"/>
        <w:rPr>
          <w:rFonts w:hint="eastAsia" w:ascii="宋体" w:hAnsi="宋体" w:eastAsia="宋体" w:cs="宋体"/>
          <w:b/>
          <w:bCs/>
          <w:sz w:val="24"/>
          <w:szCs w:val="24"/>
          <w:lang w:val="en-US" w:eastAsia="zh-CN"/>
        </w:rPr>
      </w:pPr>
      <w:bookmarkStart w:id="4" w:name="_Toc29596"/>
      <w:bookmarkStart w:id="5" w:name="_Toc16947"/>
      <w:r>
        <w:rPr>
          <w:rFonts w:hint="eastAsia" w:ascii="宋体" w:hAnsi="宋体" w:eastAsia="宋体" w:cs="宋体"/>
          <w:b/>
          <w:bCs/>
          <w:sz w:val="24"/>
          <w:szCs w:val="24"/>
          <w:lang w:val="en-US" w:eastAsia="zh-CN"/>
        </w:rPr>
        <w:t>二、需求简述</w:t>
      </w:r>
      <w:bookmarkEnd w:id="4"/>
      <w:bookmarkEnd w:id="5"/>
    </w:p>
    <w:p>
      <w:pPr>
        <w:pStyle w:val="16"/>
        <w:spacing w:line="360" w:lineRule="auto"/>
        <w:ind w:firstLine="520" w:firstLineChars="200"/>
        <w:rPr>
          <w:rFonts w:hint="eastAsia" w:ascii="宋体" w:hAnsi="宋体" w:eastAsia="宋体" w:cs="宋体"/>
          <w:sz w:val="24"/>
        </w:rPr>
      </w:pPr>
      <w:r>
        <w:rPr>
          <w:rFonts w:hint="eastAsia" w:ascii="宋体" w:hAnsi="宋体" w:eastAsia="宋体" w:cs="宋体"/>
          <w:sz w:val="24"/>
        </w:rPr>
        <w:t>建设必须满足以下建设要求：</w:t>
      </w:r>
    </w:p>
    <w:p>
      <w:pPr>
        <w:pStyle w:val="16"/>
        <w:numPr>
          <w:ilvl w:val="0"/>
          <w:numId w:val="2"/>
        </w:numPr>
        <w:spacing w:line="360" w:lineRule="auto"/>
        <w:ind w:firstLine="520" w:firstLineChars="200"/>
        <w:rPr>
          <w:rFonts w:hint="eastAsia" w:ascii="宋体" w:hAnsi="宋体" w:eastAsia="宋体" w:cs="宋体"/>
          <w:color w:val="000000"/>
          <w:sz w:val="24"/>
          <w:lang w:eastAsia="zh-CN"/>
        </w:rPr>
      </w:pPr>
      <w:r>
        <w:rPr>
          <w:rFonts w:hint="eastAsia" w:ascii="宋体" w:hAnsi="宋体" w:eastAsia="宋体" w:cs="宋体"/>
          <w:color w:val="000000"/>
          <w:sz w:val="24"/>
        </w:rPr>
        <w:t>提供本项目采购的所有</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的安装和服务的全部内容</w:t>
      </w:r>
      <w:r>
        <w:rPr>
          <w:rFonts w:hint="eastAsia" w:ascii="宋体" w:hAnsi="宋体" w:eastAsia="宋体" w:cs="宋体"/>
          <w:color w:val="000000"/>
          <w:sz w:val="24"/>
          <w:lang w:eastAsia="zh-CN"/>
        </w:rPr>
        <w:t>。</w:t>
      </w:r>
    </w:p>
    <w:p>
      <w:pPr>
        <w:pStyle w:val="16"/>
        <w:numPr>
          <w:ilvl w:val="0"/>
          <w:numId w:val="2"/>
        </w:numPr>
        <w:spacing w:line="360" w:lineRule="auto"/>
        <w:ind w:firstLine="52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所有设备均须送货上门并安装调试。不再收取任何费用。</w:t>
      </w:r>
    </w:p>
    <w:p>
      <w:pPr>
        <w:pStyle w:val="16"/>
        <w:numPr>
          <w:ilvl w:val="0"/>
          <w:numId w:val="2"/>
        </w:numPr>
        <w:spacing w:line="360" w:lineRule="auto"/>
        <w:ind w:firstLine="52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对软硬件产品提供免费保修维护和技术支持服务，软件产品包括免费上门升级。</w:t>
      </w:r>
    </w:p>
    <w:p>
      <w:pPr>
        <w:pStyle w:val="16"/>
        <w:numPr>
          <w:ilvl w:val="0"/>
          <w:numId w:val="2"/>
        </w:numPr>
        <w:spacing w:line="360" w:lineRule="auto"/>
        <w:ind w:firstLine="52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要求设备和软件技术成熟，符合广东省或国家相关行业标准。</w:t>
      </w:r>
    </w:p>
    <w:p>
      <w:pPr>
        <w:bidi w:val="0"/>
        <w:spacing w:line="360" w:lineRule="auto"/>
        <w:outlineLvl w:val="0"/>
      </w:pPr>
      <w:r>
        <w:rPr>
          <w:rFonts w:hint="eastAsia" w:ascii="宋体" w:hAnsi="宋体" w:eastAsia="宋体" w:cs="宋体"/>
          <w:b/>
          <w:bCs/>
          <w:sz w:val="24"/>
          <w:szCs w:val="24"/>
          <w:lang w:val="en-US" w:eastAsia="zh-CN"/>
        </w:rPr>
        <w:t>三、监控设备采购清单</w:t>
      </w:r>
    </w:p>
    <w:tbl>
      <w:tblPr>
        <w:tblStyle w:val="1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989"/>
        <w:gridCol w:w="193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0"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535"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98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52"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4"/>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广州校区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教育综合安防管理平台</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535" w:type="pct"/>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平台管理主机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535" w:type="pct"/>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存储节点</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535" w:type="pct"/>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监控工控机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535" w:type="pct"/>
            <w:noWrap w:val="0"/>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中心电源器</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蓄电池</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电池柜</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开关箱</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电池连接电线1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电池连接电线2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电线线缆</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400万像素网络高清球机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400万像素红外网络高清半球</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半球支架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摄像机支架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防雷器</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86</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网络筒型摄像机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摄像机支架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防水箱</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机柜</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数据集线器1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24</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数据集线器2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核心集线器</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监控级硬盘</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光纤收发器</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光纤收发器机架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四芯室外铠装单模光缆</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电源线1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4100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29</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电源适配器1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电源适配器2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超五类网线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3850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六类网线1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3240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33</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立杆</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34</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地面布线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520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35</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PVC管1</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3900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PVC管2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2900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立杆安装</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38</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四口光纤盒</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39</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机架式OFD架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尾纤</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光纤熔接</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综合布线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91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0" w:type="pct"/>
            <w:gridSpan w:val="4"/>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bCs/>
                <w:sz w:val="24"/>
                <w:szCs w:val="24"/>
              </w:rPr>
              <w:t>韶关校区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43</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高清球机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44</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支架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42</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电源线2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线管</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820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48</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400万全彩双光摄像机</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49</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监控硬盘</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六类网线2</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监控支架</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52</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电源</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53</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综合布线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54</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监控专用电源线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55</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18</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56</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服务器主板</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57</w:t>
            </w:r>
          </w:p>
        </w:tc>
        <w:tc>
          <w:tcPr>
            <w:tcW w:w="2535"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技术服务</w:t>
            </w:r>
          </w:p>
        </w:tc>
        <w:tc>
          <w:tcPr>
            <w:tcW w:w="98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1052"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个</w:t>
            </w:r>
          </w:p>
        </w:tc>
      </w:tr>
    </w:tbl>
    <w:p>
      <w:pPr>
        <w:bidi w:val="0"/>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四、监控设备维保清单</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019"/>
        <w:gridCol w:w="3413"/>
        <w:gridCol w:w="126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4"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3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73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位置</w:t>
            </w:r>
          </w:p>
        </w:tc>
        <w:tc>
          <w:tcPr>
            <w:tcW w:w="644"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683"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红外摄像头、红外半球摄像机、智能球机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广州校区（室外校道、教学楼通道、宿舍通道、楼梯主要位置）</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342</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红外摄像机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广州校区大门两侧及垃圾池</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红外摄像机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广州校区综合楼四楼电脑六室、七室</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32</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红外摄像机、红外半球</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广州校区教学楼D栋技能考试科室</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38</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平台服务器</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控制电脑</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监控平台软件</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解码器</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拼接屏</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磁盘阵列</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磁盘阵列</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硬盘录像机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硬盘录像机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硬盘录像机（模块）</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广州校区综合楼一楼监控机房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红外摄像头、红外半球摄像机、智能球型摄像机</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韶关校区（室外围墙、楼内、楼梯及电梯间主要位置及进出口）</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304</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总服务器</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韶关校区机房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流媒体服务器</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韶关校区机房</w:t>
            </w:r>
          </w:p>
        </w:tc>
        <w:tc>
          <w:tcPr>
            <w:tcW w:w="1268"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监控平台软件</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韶关校区机房</w:t>
            </w:r>
          </w:p>
        </w:tc>
        <w:tc>
          <w:tcPr>
            <w:tcW w:w="12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533" w:type="pct"/>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磁盘阵列</w:t>
            </w:r>
          </w:p>
        </w:tc>
        <w:tc>
          <w:tcPr>
            <w:tcW w:w="1733" w:type="pct"/>
            <w:noWrap w:val="0"/>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韶关校区机房</w:t>
            </w:r>
          </w:p>
        </w:tc>
        <w:tc>
          <w:tcPr>
            <w:tcW w:w="126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46"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套</w:t>
            </w:r>
          </w:p>
        </w:tc>
      </w:tr>
    </w:tbl>
    <w:p>
      <w:pPr>
        <w:pStyle w:val="2"/>
        <w:rPr>
          <w:rFonts w:hint="default" w:eastAsia="宋体"/>
          <w:lang w:val="en-US" w:eastAsia="zh-CN"/>
        </w:rPr>
      </w:pPr>
    </w:p>
    <w:p>
      <w:pPr>
        <w:pStyle w:val="2"/>
        <w:rPr>
          <w:rFonts w:hint="eastAsia"/>
        </w:rPr>
      </w:pPr>
    </w:p>
    <w:sectPr>
      <w:footerReference r:id="rId3" w:type="default"/>
      <w:pgSz w:w="11906" w:h="16838"/>
      <w:pgMar w:top="1134" w:right="1134" w:bottom="1134"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59B83"/>
    <w:multiLevelType w:val="singleLevel"/>
    <w:tmpl w:val="AEC59B83"/>
    <w:lvl w:ilvl="0" w:tentative="0">
      <w:start w:val="1"/>
      <w:numFmt w:val="decimal"/>
      <w:suff w:val="nothing"/>
      <w:lvlText w:val="（%1）"/>
      <w:lvlJc w:val="left"/>
    </w:lvl>
  </w:abstractNum>
  <w:abstractNum w:abstractNumId="1">
    <w:nsid w:val="77233D0A"/>
    <w:multiLevelType w:val="multilevel"/>
    <w:tmpl w:val="77233D0A"/>
    <w:lvl w:ilvl="0" w:tentative="0">
      <w:start w:val="1"/>
      <w:numFmt w:val="decimal"/>
      <w:pStyle w:val="4"/>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3MDdhZjc2YWUxMzQ0NTg2OTkxODg0YzRlMTMyNDUifQ=="/>
  </w:docVars>
  <w:rsids>
    <w:rsidRoot w:val="00A7736B"/>
    <w:rsid w:val="00014348"/>
    <w:rsid w:val="00080919"/>
    <w:rsid w:val="001072B0"/>
    <w:rsid w:val="00164A3C"/>
    <w:rsid w:val="001977C6"/>
    <w:rsid w:val="001A2B2D"/>
    <w:rsid w:val="001A34DE"/>
    <w:rsid w:val="001B2E25"/>
    <w:rsid w:val="001C5EEE"/>
    <w:rsid w:val="00223809"/>
    <w:rsid w:val="00240565"/>
    <w:rsid w:val="002444D6"/>
    <w:rsid w:val="00253C36"/>
    <w:rsid w:val="00265BEC"/>
    <w:rsid w:val="002A4211"/>
    <w:rsid w:val="002C6952"/>
    <w:rsid w:val="002E6E3E"/>
    <w:rsid w:val="003A59EB"/>
    <w:rsid w:val="003B7479"/>
    <w:rsid w:val="003D4C8C"/>
    <w:rsid w:val="00421E17"/>
    <w:rsid w:val="004540C9"/>
    <w:rsid w:val="00497529"/>
    <w:rsid w:val="004F628E"/>
    <w:rsid w:val="005835F7"/>
    <w:rsid w:val="005945E1"/>
    <w:rsid w:val="00602034"/>
    <w:rsid w:val="006224D6"/>
    <w:rsid w:val="00653863"/>
    <w:rsid w:val="0068335C"/>
    <w:rsid w:val="00687B29"/>
    <w:rsid w:val="006C5B50"/>
    <w:rsid w:val="006D0BD3"/>
    <w:rsid w:val="0071671B"/>
    <w:rsid w:val="00723E4A"/>
    <w:rsid w:val="00744DF5"/>
    <w:rsid w:val="007F0F20"/>
    <w:rsid w:val="00834F4A"/>
    <w:rsid w:val="0084255E"/>
    <w:rsid w:val="0085382E"/>
    <w:rsid w:val="00864BDD"/>
    <w:rsid w:val="008A68ED"/>
    <w:rsid w:val="008B5C9A"/>
    <w:rsid w:val="008F4D60"/>
    <w:rsid w:val="008F6388"/>
    <w:rsid w:val="0096139C"/>
    <w:rsid w:val="009C1901"/>
    <w:rsid w:val="009F05FA"/>
    <w:rsid w:val="009F3944"/>
    <w:rsid w:val="00A32DFF"/>
    <w:rsid w:val="00A7736B"/>
    <w:rsid w:val="00AF08C7"/>
    <w:rsid w:val="00B717AB"/>
    <w:rsid w:val="00BD5A1A"/>
    <w:rsid w:val="00C13E0E"/>
    <w:rsid w:val="00C60784"/>
    <w:rsid w:val="00C61A43"/>
    <w:rsid w:val="00CA5C24"/>
    <w:rsid w:val="00D36060"/>
    <w:rsid w:val="00D413C6"/>
    <w:rsid w:val="00D7452F"/>
    <w:rsid w:val="00DA7A59"/>
    <w:rsid w:val="00E903E9"/>
    <w:rsid w:val="00E93158"/>
    <w:rsid w:val="00EB55DE"/>
    <w:rsid w:val="01CA5A95"/>
    <w:rsid w:val="02B96468"/>
    <w:rsid w:val="06CE3AE3"/>
    <w:rsid w:val="07A27CB8"/>
    <w:rsid w:val="0A544258"/>
    <w:rsid w:val="0AAC0731"/>
    <w:rsid w:val="0C0C017B"/>
    <w:rsid w:val="0D7675A0"/>
    <w:rsid w:val="1588321A"/>
    <w:rsid w:val="158C4BBC"/>
    <w:rsid w:val="19991916"/>
    <w:rsid w:val="1B2D665E"/>
    <w:rsid w:val="1E5439C8"/>
    <w:rsid w:val="1E8A2A1F"/>
    <w:rsid w:val="1E973964"/>
    <w:rsid w:val="203176E0"/>
    <w:rsid w:val="27885BF1"/>
    <w:rsid w:val="28415903"/>
    <w:rsid w:val="290F25F7"/>
    <w:rsid w:val="295D40CE"/>
    <w:rsid w:val="2BBC43F6"/>
    <w:rsid w:val="3175714F"/>
    <w:rsid w:val="33016EEC"/>
    <w:rsid w:val="34257B9A"/>
    <w:rsid w:val="35382DFA"/>
    <w:rsid w:val="368F1515"/>
    <w:rsid w:val="376D6345"/>
    <w:rsid w:val="382114CC"/>
    <w:rsid w:val="38CE3147"/>
    <w:rsid w:val="397160F3"/>
    <w:rsid w:val="3A925E6C"/>
    <w:rsid w:val="3CA204BF"/>
    <w:rsid w:val="3F921DB4"/>
    <w:rsid w:val="423F2B8D"/>
    <w:rsid w:val="42BC3428"/>
    <w:rsid w:val="43060390"/>
    <w:rsid w:val="43E30CA1"/>
    <w:rsid w:val="453A139E"/>
    <w:rsid w:val="45AE08C8"/>
    <w:rsid w:val="466113E4"/>
    <w:rsid w:val="480D18AD"/>
    <w:rsid w:val="4A580AB5"/>
    <w:rsid w:val="4DD2750D"/>
    <w:rsid w:val="4E8A1436"/>
    <w:rsid w:val="4EA97D5B"/>
    <w:rsid w:val="4EF83E1F"/>
    <w:rsid w:val="4FEF0E2D"/>
    <w:rsid w:val="50BB66E3"/>
    <w:rsid w:val="521D4F6D"/>
    <w:rsid w:val="526D1ACB"/>
    <w:rsid w:val="53F242EF"/>
    <w:rsid w:val="588432BC"/>
    <w:rsid w:val="598A4AA9"/>
    <w:rsid w:val="5B3A65A0"/>
    <w:rsid w:val="5C087B2C"/>
    <w:rsid w:val="5CB033BE"/>
    <w:rsid w:val="5DDC67DE"/>
    <w:rsid w:val="5E097B9C"/>
    <w:rsid w:val="5EBF2F2B"/>
    <w:rsid w:val="5FFE7AA2"/>
    <w:rsid w:val="614E5143"/>
    <w:rsid w:val="6C3057D4"/>
    <w:rsid w:val="6CCE7F1D"/>
    <w:rsid w:val="6D1E6129"/>
    <w:rsid w:val="6D4F64CA"/>
    <w:rsid w:val="6DFD034F"/>
    <w:rsid w:val="6ECC2B2D"/>
    <w:rsid w:val="71C62AB1"/>
    <w:rsid w:val="72DC3727"/>
    <w:rsid w:val="72F04C82"/>
    <w:rsid w:val="73000A6D"/>
    <w:rsid w:val="75A16751"/>
    <w:rsid w:val="76C77417"/>
    <w:rsid w:val="779A20E1"/>
    <w:rsid w:val="7ABC1F6F"/>
    <w:rsid w:val="7DD4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7"/>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1"/>
    <w:pPr>
      <w:ind w:left="149"/>
    </w:pPr>
    <w:rPr>
      <w:rFonts w:ascii="宋体" w:hAnsi="宋体" w:eastAsia="宋体"/>
      <w:szCs w:val="21"/>
    </w:rPr>
  </w:style>
  <w:style w:type="paragraph" w:styleId="7">
    <w:name w:val="annotation text"/>
    <w:basedOn w:val="1"/>
    <w:link w:val="22"/>
    <w:semiHidden/>
    <w:unhideWhenUsed/>
    <w:qFormat/>
    <w:uiPriority w:val="99"/>
    <w:pPr>
      <w:jc w:val="left"/>
    </w:p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annotation subject"/>
    <w:basedOn w:val="7"/>
    <w:next w:val="7"/>
    <w:link w:val="23"/>
    <w:semiHidden/>
    <w:unhideWhenUsed/>
    <w:qFormat/>
    <w:uiPriority w:val="99"/>
    <w:rPr>
      <w:b/>
      <w:bCs/>
    </w:rPr>
  </w:style>
  <w:style w:type="character" w:styleId="15">
    <w:name w:val="annotation reference"/>
    <w:basedOn w:val="14"/>
    <w:semiHidden/>
    <w:unhideWhenUsed/>
    <w:qFormat/>
    <w:uiPriority w:val="99"/>
    <w:rPr>
      <w:sz w:val="21"/>
      <w:szCs w:val="21"/>
    </w:rPr>
  </w:style>
  <w:style w:type="paragraph" w:customStyle="1" w:styleId="16">
    <w:name w:val="表格文字"/>
    <w:basedOn w:val="1"/>
    <w:qFormat/>
    <w:uiPriority w:val="0"/>
    <w:pPr>
      <w:spacing w:before="25" w:after="25"/>
      <w:jc w:val="left"/>
    </w:pPr>
    <w:rPr>
      <w:rFonts w:ascii="Times New Roman" w:hAnsi="Times New Roman"/>
      <w:bCs/>
      <w:spacing w:val="10"/>
      <w:kern w:val="0"/>
      <w:sz w:val="24"/>
      <w:szCs w:val="20"/>
    </w:rPr>
  </w:style>
  <w:style w:type="character" w:customStyle="1" w:styleId="17">
    <w:name w:val="标题 1 字符"/>
    <w:basedOn w:val="14"/>
    <w:link w:val="4"/>
    <w:qFormat/>
    <w:uiPriority w:val="0"/>
    <w:rPr>
      <w:b/>
      <w:kern w:val="44"/>
      <w:sz w:val="44"/>
      <w:szCs w:val="24"/>
    </w:rPr>
  </w:style>
  <w:style w:type="character" w:customStyle="1" w:styleId="18">
    <w:name w:val="标题 2 字符"/>
    <w:basedOn w:val="14"/>
    <w:link w:val="5"/>
    <w:qFormat/>
    <w:uiPriority w:val="9"/>
    <w:rPr>
      <w:rFonts w:asciiTheme="majorHAnsi" w:hAnsiTheme="majorHAnsi" w:eastAsiaTheme="majorEastAsia" w:cstheme="majorBidi"/>
      <w:b/>
      <w:bCs/>
      <w:sz w:val="32"/>
      <w:szCs w:val="32"/>
    </w:rPr>
  </w:style>
  <w:style w:type="character" w:customStyle="1" w:styleId="19">
    <w:name w:val="标题 3 字符"/>
    <w:basedOn w:val="14"/>
    <w:link w:val="6"/>
    <w:qFormat/>
    <w:uiPriority w:val="9"/>
    <w:rPr>
      <w:b/>
      <w:bCs/>
      <w:kern w:val="2"/>
      <w:sz w:val="32"/>
      <w:szCs w:val="32"/>
    </w:rPr>
  </w:style>
  <w:style w:type="paragraph" w:customStyle="1" w:styleId="20">
    <w:name w:val="正文_0"/>
    <w:qFormat/>
    <w:uiPriority w:val="0"/>
    <w:pPr>
      <w:widowControl w:val="0"/>
      <w:spacing w:after="200" w:line="360" w:lineRule="auto"/>
      <w:jc w:val="both"/>
    </w:pPr>
    <w:rPr>
      <w:rFonts w:ascii="Calibri" w:hAnsi="Calibri" w:eastAsia="宋体" w:cs="Times New Roman"/>
      <w:kern w:val="2"/>
      <w:sz w:val="24"/>
      <w:szCs w:val="22"/>
      <w:lang w:val="en-US" w:eastAsia="zh-CN" w:bidi="ar-SA"/>
    </w:rPr>
  </w:style>
  <w:style w:type="paragraph" w:customStyle="1" w:styleId="21">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批注文字 字符"/>
    <w:basedOn w:val="14"/>
    <w:link w:val="7"/>
    <w:semiHidden/>
    <w:qFormat/>
    <w:uiPriority w:val="99"/>
    <w:rPr>
      <w:szCs w:val="24"/>
    </w:rPr>
  </w:style>
  <w:style w:type="character" w:customStyle="1" w:styleId="23">
    <w:name w:val="批注主题 字符"/>
    <w:basedOn w:val="22"/>
    <w:link w:val="12"/>
    <w:semiHidden/>
    <w:qFormat/>
    <w:uiPriority w:val="99"/>
    <w:rPr>
      <w:b/>
      <w:bCs/>
      <w:szCs w:val="24"/>
    </w:rPr>
  </w:style>
  <w:style w:type="character" w:customStyle="1" w:styleId="24">
    <w:name w:val="font41"/>
    <w:basedOn w:val="14"/>
    <w:qFormat/>
    <w:uiPriority w:val="0"/>
    <w:rPr>
      <w:rFonts w:hint="eastAsia" w:ascii="微软雅黑" w:hAnsi="微软雅黑" w:eastAsia="微软雅黑"/>
      <w:color w:val="000000"/>
      <w:sz w:val="20"/>
      <w:szCs w:val="20"/>
      <w:u w:val="none"/>
    </w:rPr>
  </w:style>
  <w:style w:type="character" w:customStyle="1" w:styleId="25">
    <w:name w:val="font91"/>
    <w:basedOn w:val="14"/>
    <w:qFormat/>
    <w:uiPriority w:val="0"/>
    <w:rPr>
      <w:rFonts w:hint="eastAsia" w:ascii="微软雅黑" w:hAnsi="微软雅黑" w:eastAsia="微软雅黑"/>
      <w:color w:val="000000"/>
      <w:sz w:val="21"/>
      <w:szCs w:val="21"/>
      <w:u w:val="none"/>
    </w:rPr>
  </w:style>
  <w:style w:type="paragraph" w:styleId="26">
    <w:name w:val="List Paragraph"/>
    <w:basedOn w:val="1"/>
    <w:qFormat/>
    <w:uiPriority w:val="99"/>
    <w:pPr>
      <w:ind w:firstLine="420" w:firstLineChars="200"/>
    </w:pPr>
  </w:style>
  <w:style w:type="character" w:customStyle="1" w:styleId="27">
    <w:name w:val="页眉 字符"/>
    <w:basedOn w:val="14"/>
    <w:link w:val="9"/>
    <w:qFormat/>
    <w:uiPriority w:val="99"/>
    <w:rPr>
      <w:kern w:val="2"/>
      <w:sz w:val="18"/>
      <w:szCs w:val="18"/>
    </w:rPr>
  </w:style>
  <w:style w:type="character" w:customStyle="1" w:styleId="28">
    <w:name w:val="页脚 字符"/>
    <w:basedOn w:val="14"/>
    <w:link w:val="8"/>
    <w:qFormat/>
    <w:uiPriority w:val="99"/>
    <w:rPr>
      <w:kern w:val="2"/>
      <w:sz w:val="18"/>
      <w:szCs w:val="18"/>
    </w:rPr>
  </w:style>
  <w:style w:type="character" w:customStyle="1" w:styleId="29">
    <w:name w:val="font31"/>
    <w:basedOn w:val="14"/>
    <w:qFormat/>
    <w:uiPriority w:val="0"/>
    <w:rPr>
      <w:rFonts w:hint="eastAsia" w:ascii="宋体" w:hAnsi="宋体" w:eastAsia="宋体" w:cs="宋体"/>
      <w:color w:val="000000"/>
      <w:sz w:val="18"/>
      <w:szCs w:val="18"/>
      <w:u w:val="none"/>
    </w:rPr>
  </w:style>
  <w:style w:type="character" w:customStyle="1" w:styleId="30">
    <w:name w:val="font131"/>
    <w:basedOn w:val="14"/>
    <w:qFormat/>
    <w:uiPriority w:val="0"/>
    <w:rPr>
      <w:rFonts w:hint="eastAsia" w:ascii="宋体" w:hAnsi="宋体" w:eastAsia="宋体" w:cs="宋体"/>
      <w:color w:val="000000"/>
      <w:sz w:val="18"/>
      <w:szCs w:val="18"/>
      <w:u w:val="none"/>
      <w:vertAlign w:val="superscript"/>
    </w:rPr>
  </w:style>
  <w:style w:type="character" w:customStyle="1" w:styleId="31">
    <w:name w:val="font141"/>
    <w:basedOn w:val="14"/>
    <w:qFormat/>
    <w:uiPriority w:val="0"/>
    <w:rPr>
      <w:rFonts w:hint="eastAsia" w:ascii="宋体" w:hAnsi="宋体" w:eastAsia="宋体" w:cs="宋体"/>
      <w:color w:val="000000"/>
      <w:sz w:val="20"/>
      <w:szCs w:val="20"/>
      <w:u w:val="none"/>
      <w:vertAlign w:val="superscript"/>
    </w:rPr>
  </w:style>
  <w:style w:type="paragraph" w:customStyle="1" w:styleId="32">
    <w:name w:val="Normal_34"/>
    <w:qFormat/>
    <w:uiPriority w:val="0"/>
    <w:rPr>
      <w:rFonts w:ascii="Times New Roman" w:hAnsi="Times New Roman" w:eastAsia="Times New Roman" w:cs="Times New Roman"/>
      <w:sz w:val="24"/>
      <w:szCs w:val="24"/>
      <w:lang w:val="en-US" w:eastAsia="zh-CN" w:bidi="ar-SA"/>
    </w:rPr>
  </w:style>
  <w:style w:type="paragraph" w:customStyle="1" w:styleId="33">
    <w:name w:val="Table Paragraph"/>
    <w:basedOn w:val="1"/>
    <w:qFormat/>
    <w:uiPriority w:val="1"/>
  </w:style>
  <w:style w:type="paragraph" w:customStyle="1" w:styleId="34">
    <w:name w:val="正文_0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1338</Words>
  <Characters>1478</Characters>
  <Lines>73</Lines>
  <Paragraphs>20</Paragraphs>
  <TotalTime>1</TotalTime>
  <ScaleCrop>false</ScaleCrop>
  <LinksUpToDate>false</LinksUpToDate>
  <CharactersWithSpaces>1478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2021-04-01T01:34:00Z</dcterms:created>
  <dc:creator>陈 佳贤</dc:creator>
  <cp:lastModifiedBy>Space</cp:lastModifiedBy>
  <cp:lastPrinted>2021-04-08T02:27:00Z</cp:lastPrinted>
  <dcterms:modified xsi:type="dcterms:W3CDTF">2023-06-25T09:27:20Z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3D07849331494C4F8E507DF7E9EB18EB</vt:lpwstr>
  </property>
</Properties>
</file>