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outlineLvl w:val="9"/>
        <w:rPr>
          <w:rFonts w:ascii="仿宋" w:hAnsi="仿宋" w:eastAsia="仿宋" w:cs="仿宋"/>
          <w:sz w:val="72"/>
          <w:szCs w:val="72"/>
        </w:rPr>
      </w:pPr>
      <w:bookmarkStart w:id="0" w:name="_Toc23490"/>
      <w:bookmarkStart w:id="1" w:name="_Toc20474"/>
      <w:bookmarkStart w:id="2" w:name="_Toc29492"/>
    </w:p>
    <w:p>
      <w:pPr>
        <w:pStyle w:val="8"/>
        <w:rPr>
          <w:rFonts w:ascii="仿宋" w:hAnsi="仿宋" w:eastAsia="仿宋" w:cs="仿宋"/>
          <w:sz w:val="72"/>
          <w:szCs w:val="72"/>
        </w:rPr>
      </w:pPr>
    </w:p>
    <w:p/>
    <w:p/>
    <w:p/>
    <w:p>
      <w:pPr>
        <w:numPr>
          <w:ilvl w:val="0"/>
          <w:numId w:val="0"/>
        </w:numPr>
        <w:jc w:val="center"/>
        <w:outlineLvl w:val="9"/>
        <w:rPr>
          <w:rFonts w:hint="eastAsia" w:ascii="仿宋" w:hAnsi="仿宋" w:eastAsia="仿宋" w:cs="仿宋"/>
          <w:sz w:val="72"/>
          <w:szCs w:val="72"/>
        </w:rPr>
      </w:pPr>
      <w:bookmarkStart w:id="3" w:name="_Toc30092"/>
      <w:r>
        <w:rPr>
          <w:rFonts w:hint="eastAsia" w:ascii="宋体" w:hAnsi="宋体" w:eastAsia="宋体" w:cs="宋体"/>
          <w:sz w:val="52"/>
          <w:szCs w:val="52"/>
          <w:lang w:eastAsia="zh-CN"/>
        </w:rPr>
        <w:t>生物医药与健康产业就业培训基地工学一体化技能人才培养内涵建设采购项目</w:t>
      </w:r>
    </w:p>
    <w:p>
      <w:pPr>
        <w:pStyle w:val="8"/>
        <w:rPr>
          <w:rFonts w:hint="eastAsia" w:ascii="仿宋" w:hAnsi="仿宋" w:eastAsia="仿宋" w:cs="仿宋"/>
          <w:sz w:val="72"/>
          <w:szCs w:val="72"/>
        </w:rPr>
      </w:pPr>
    </w:p>
    <w:p>
      <w:pPr>
        <w:rPr>
          <w:rFonts w:hint="eastAsia" w:ascii="仿宋" w:hAnsi="仿宋" w:eastAsia="仿宋" w:cs="仿宋"/>
          <w:sz w:val="72"/>
          <w:szCs w:val="72"/>
        </w:rPr>
      </w:pPr>
    </w:p>
    <w:p>
      <w:pPr>
        <w:rPr>
          <w:rFonts w:hint="eastAsia"/>
        </w:rPr>
      </w:pPr>
    </w:p>
    <w:p>
      <w:pPr>
        <w:numPr>
          <w:ilvl w:val="0"/>
          <w:numId w:val="0"/>
        </w:numPr>
        <w:jc w:val="center"/>
        <w:outlineLvl w:val="9"/>
        <w:rPr>
          <w:rFonts w:ascii="仿宋" w:hAnsi="仿宋" w:eastAsia="仿宋" w:cs="仿宋"/>
          <w:b w:val="0"/>
          <w:bCs/>
          <w:sz w:val="36"/>
          <w:szCs w:val="36"/>
        </w:rPr>
      </w:pPr>
      <w:r>
        <w:rPr>
          <w:rFonts w:hint="eastAsia" w:ascii="仿宋" w:hAnsi="仿宋" w:eastAsia="仿宋" w:cs="仿宋"/>
          <w:sz w:val="72"/>
          <w:szCs w:val="72"/>
          <w:lang w:val="en-US" w:eastAsia="zh-CN"/>
        </w:rPr>
        <w:t>基本</w:t>
      </w:r>
      <w:r>
        <w:rPr>
          <w:rFonts w:hint="eastAsia" w:ascii="仿宋" w:hAnsi="仿宋" w:eastAsia="仿宋" w:cs="仿宋"/>
          <w:sz w:val="72"/>
          <w:szCs w:val="72"/>
        </w:rPr>
        <w:t>需求</w:t>
      </w:r>
      <w:bookmarkEnd w:id="0"/>
      <w:bookmarkEnd w:id="1"/>
      <w:bookmarkEnd w:id="2"/>
      <w:bookmarkEnd w:id="3"/>
    </w:p>
    <w:p>
      <w:pPr>
        <w:numPr>
          <w:ilvl w:val="0"/>
          <w:numId w:val="0"/>
        </w:numPr>
        <w:jc w:val="center"/>
        <w:outlineLvl w:val="9"/>
        <w:rPr>
          <w:rFonts w:ascii="仿宋" w:hAnsi="仿宋" w:eastAsia="仿宋" w:cs="仿宋"/>
          <w:b w:val="0"/>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jc w:val="both"/>
      </w:pPr>
    </w:p>
    <w:p>
      <w:pPr>
        <w:rPr>
          <w:rFonts w:hint="eastAsia"/>
          <w:lang w:val="en-US" w:eastAsia="zh-CN"/>
        </w:rPr>
      </w:pPr>
      <w:r>
        <w:rPr>
          <w:rFonts w:hint="eastAsia"/>
          <w:lang w:val="en-US" w:eastAsia="zh-CN"/>
        </w:rPr>
        <w:br w:type="page"/>
      </w:r>
    </w:p>
    <w:p>
      <w:pPr>
        <w:bidi w:val="0"/>
        <w:spacing w:line="360" w:lineRule="auto"/>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一、项目背景</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广东省岭南工商第一技师学院(广东省岭南工商第一高级技工学校)位于广州市花都汽车产业基地园区，学院创办于1974年，是省人力资源和社会保障厅直属管理的省财政拨款公办国家级重点综合型技师学院、目前占地面积320多亩，建筑面积12万多平方米，现有在校生近万人。学院是广东省2010年首批“国家中等职业教育改革发展示范学校”七所技工院校之一、“广东省首批校企双制示范创建院校”，曾荣获“全国教育系统先进单位”、“全国技工院校先进集体”等荣誉称号。2021年7月，学院被广东省人社厅确定为全省首批创全国一流的十所高水平技师学院创建单位之一。</w:t>
      </w:r>
    </w:p>
    <w:p>
      <w:pPr>
        <w:bidi w:val="0"/>
        <w:spacing w:line="360" w:lineRule="auto"/>
        <w:outlineLvl w:val="0"/>
        <w:rPr>
          <w:rFonts w:hint="default" w:ascii="宋体" w:hAnsi="宋体" w:eastAsia="宋体" w:cs="宋体"/>
          <w:b/>
          <w:szCs w:val="21"/>
          <w:lang w:val="en-US"/>
        </w:rPr>
      </w:pPr>
      <w:r>
        <w:rPr>
          <w:rFonts w:hint="eastAsia" w:ascii="宋体" w:hAnsi="宋体" w:eastAsia="宋体" w:cs="宋体"/>
          <w:b/>
          <w:bCs/>
          <w:sz w:val="24"/>
          <w:szCs w:val="24"/>
          <w:lang w:val="en-US" w:eastAsia="zh-CN"/>
        </w:rPr>
        <w:t>二、需求简述</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2021年11月2号，广东省人力资源和社会保障厅关于印发《关于组织开展产业就业培训基地建设的通知》中指出：</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产业就业培训基地是我省适应新形式下职业技能培训工作需要，围绕我省战略性产业和区域经济发展需要，提前布局职业技能培训基地网络，提高我省市场化、社会化培训水平，提升劳动者职业技能水平和就业创业能力，重点面向20个战略性产业集群，支持龙头企业（上市公司）、技工院校、职业院校和培训机构开展建设的技能培训基地。</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文件中相关工作要求指出：加强产业就业培训基地建设是助推我省战略性产业发展、实施乡村振兴战略、建设粤港澳大湾区的重要举措，是推动落实全省高技能人</w:t>
      </w:r>
      <w:bookmarkStart w:id="6" w:name="_GoBack"/>
      <w:bookmarkEnd w:id="6"/>
      <w:r>
        <w:rPr>
          <w:rFonts w:hint="eastAsia" w:ascii="宋体" w:hAnsi="宋体" w:eastAsia="宋体" w:cs="宋体"/>
          <w:color w:val="auto"/>
          <w:kern w:val="2"/>
          <w:sz w:val="24"/>
          <w:szCs w:val="24"/>
          <w:highlight w:val="none"/>
          <w:lang w:val="en-US" w:eastAsia="zh-CN"/>
        </w:rPr>
        <w:t>才队伍建设的重要抓手，是实施“三项工程”和职业技能提升行动的重要体现。</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2022年3月4号，人力资源和社会保障部关于印发《推进技工院校工学一体化技能人才培养模式实施方案》的通知中指出：</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一）制定工学一体化课程标准。通过组织制定、征集遴选等多种方式加快和修订技工院校工学一体化课程标准，明确培养目标、课程安排、课程规范、实施建议、考核与评价等技能人才培养要求。以通用职业素质课程为突破口，加快公共基础课课程改革创新发展。促进工学一体化课程标准与世界先进标准对接，充分吸收世界技能大赛的先进理念、技能标准、评价体系，推进世界技能大赛各赛项的专业或课程转化工作。</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二）定制化开发工学一体化教学资源。紧密对接产业升级和技术变革趋势，优先开发先进制造业、现代服务业、战略性新兴产业，以及国家急需紧缺职业的教学资源，创新教材形态，开发活页式、工作手册式、融媒体式等教材。开发满足课程教学需要的教学资源包，包含教材、工作页、教学案例库、教学课件、教学视频等。落实《技工院校教材管理工作实施细则》，强化教材规范化管理，坚持凡编必审、凡选必审。</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结合文件指示，在产业就业培训基地的建设中，按照建设任务要点，在工学一体化课程标准制定、工学一体化教学资源开发方面，制定了本次关于“广东省岭南工商第一技师学院生物医药与健康产业就业培训基地工学一体化技能人才培养内涵建设项目”的实施方案。</w:t>
      </w:r>
    </w:p>
    <w:p>
      <w:pPr>
        <w:bidi w:val="0"/>
        <w:spacing w:line="360" w:lineRule="auto"/>
        <w:outlineLvl w:val="0"/>
        <w:rPr>
          <w:rFonts w:hint="default" w:ascii="宋体" w:hAnsi="宋体" w:eastAsia="宋体" w:cs="宋体"/>
          <w:b/>
          <w:szCs w:val="21"/>
          <w:lang w:val="en-US"/>
        </w:rPr>
      </w:pPr>
      <w:r>
        <w:rPr>
          <w:rFonts w:hint="eastAsia" w:ascii="宋体" w:hAnsi="宋体" w:eastAsia="宋体" w:cs="宋体"/>
          <w:b/>
          <w:bCs/>
          <w:sz w:val="24"/>
          <w:szCs w:val="24"/>
          <w:lang w:val="en-US" w:eastAsia="zh-CN"/>
        </w:rPr>
        <w:t>三、主要建设内容</w:t>
      </w:r>
    </w:p>
    <w:p>
      <w:pPr>
        <w:spacing w:line="360" w:lineRule="auto"/>
        <w:ind w:firstLine="480" w:firstLineChars="200"/>
        <w:rPr>
          <w:rFonts w:hint="default" w:ascii="宋体" w:hAnsi="宋体" w:eastAsia="宋体" w:cs="宋体"/>
          <w:color w:val="auto"/>
          <w:kern w:val="2"/>
          <w:sz w:val="24"/>
          <w:szCs w:val="24"/>
          <w:highlight w:val="none"/>
          <w:lang w:val="en-US" w:eastAsia="zh-CN"/>
        </w:rPr>
      </w:pPr>
      <w:bookmarkStart w:id="4" w:name="_Toc7181"/>
      <w:r>
        <w:rPr>
          <w:rFonts w:hint="eastAsia" w:ascii="宋体" w:hAnsi="宋体" w:eastAsia="宋体" w:cs="宋体"/>
          <w:color w:val="auto"/>
          <w:kern w:val="2"/>
          <w:sz w:val="24"/>
          <w:szCs w:val="24"/>
          <w:highlight w:val="none"/>
          <w:lang w:val="en-US" w:eastAsia="zh-CN"/>
        </w:rPr>
        <w:t>一、工学一体化课程开发</w:t>
      </w:r>
      <w:bookmarkEnd w:id="4"/>
    </w:p>
    <w:p>
      <w:pPr>
        <w:spacing w:line="360" w:lineRule="auto"/>
        <w:ind w:firstLine="480" w:firstLineChars="2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1、开展职业与工作调研分析，分析生物医药与健康产业的人才需求情况，遴选适合的企业、院校进行访谈交流，设计相关问卷进行调研，输出产业人才定位调研报告。</w:t>
      </w:r>
    </w:p>
    <w:p>
      <w:pPr>
        <w:spacing w:line="360" w:lineRule="auto"/>
        <w:ind w:firstLine="480" w:firstLineChars="2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2、开展实践专家访谈，面向“医疗器械检验、医疗器械组装调试、医疗器械销售”等岗位，提炼“机电一体化技术专业”、“电子商务专业”、“工业机器人应用与维护专业”相关典型工作任务。</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3、开展课程体系研讨，确立“机电一体化技术专业”、“电子商务专业”、“工业机器人应用与维护专业”的一体化课程框架。</w:t>
      </w:r>
    </w:p>
    <w:p>
      <w:pPr>
        <w:spacing w:line="360" w:lineRule="auto"/>
        <w:ind w:firstLine="480" w:firstLineChars="2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4、汇编一体化课程开发过程及成果材料，形成一体化课程方案。</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5、结合典型工作任务的描述，确立课程目标、内容，并制定一体化课程标准。</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6、结合实践专家访谈会成果，形成“医疗器械检验、医疗器械组装调试、医疗器械销售”的岗位标准。</w:t>
      </w:r>
    </w:p>
    <w:p>
      <w:pPr>
        <w:spacing w:line="360" w:lineRule="auto"/>
        <w:ind w:firstLine="480" w:firstLineChars="200"/>
        <w:rPr>
          <w:rFonts w:hint="eastAsia" w:ascii="宋体" w:hAnsi="宋体" w:eastAsia="宋体" w:cs="宋体"/>
          <w:color w:val="auto"/>
          <w:kern w:val="2"/>
          <w:sz w:val="24"/>
          <w:szCs w:val="24"/>
          <w:highlight w:val="none"/>
          <w:lang w:val="en-US" w:eastAsia="zh-CN"/>
        </w:rPr>
      </w:pPr>
      <w:bookmarkStart w:id="5" w:name="_Toc18638"/>
      <w:r>
        <w:rPr>
          <w:rFonts w:hint="eastAsia" w:ascii="宋体" w:hAnsi="宋体" w:eastAsia="宋体" w:cs="宋体"/>
          <w:color w:val="auto"/>
          <w:kern w:val="2"/>
          <w:sz w:val="24"/>
          <w:szCs w:val="24"/>
          <w:highlight w:val="none"/>
          <w:lang w:val="en-US" w:eastAsia="zh-CN"/>
        </w:rPr>
        <w:t>二、定制化开发工学一体化教学资源</w:t>
      </w:r>
      <w:bookmarkEnd w:id="5"/>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1、根据国家职业标准，面向社会化培训的需求，编写三个工种的职业标准培训教材，培训教材含中级、高级、技师三个等级进行编写。</w:t>
      </w:r>
    </w:p>
    <w:p>
      <w:pPr>
        <w:spacing w:line="360" w:lineRule="auto"/>
        <w:ind w:firstLine="480" w:firstLineChars="2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2、结合工种的不同层级，根据试题库框架体例要求，按中级、高级、技师三个等级建立技能等级认证试题库。</w:t>
      </w:r>
    </w:p>
    <w:sectPr>
      <w:footerReference r:id="rId3" w:type="default"/>
      <w:pgSz w:w="11906" w:h="16838"/>
      <w:pgMar w:top="1134" w:right="1134" w:bottom="1134" w:left="1134"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33D0A"/>
    <w:multiLevelType w:val="multilevel"/>
    <w:tmpl w:val="77233D0A"/>
    <w:lvl w:ilvl="0" w:tentative="0">
      <w:start w:val="1"/>
      <w:numFmt w:val="decimal"/>
      <w:pStyle w:val="3"/>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Q3MDdhZjc2YWUxMzQ0NTg2OTkxODg0YzRlMTMyNDUifQ=="/>
  </w:docVars>
  <w:rsids>
    <w:rsidRoot w:val="00A7736B"/>
    <w:rsid w:val="00014348"/>
    <w:rsid w:val="00080919"/>
    <w:rsid w:val="001072B0"/>
    <w:rsid w:val="00164A3C"/>
    <w:rsid w:val="001977C6"/>
    <w:rsid w:val="001A2B2D"/>
    <w:rsid w:val="001A34DE"/>
    <w:rsid w:val="001B2E25"/>
    <w:rsid w:val="001C5EEE"/>
    <w:rsid w:val="00223809"/>
    <w:rsid w:val="00240565"/>
    <w:rsid w:val="002444D6"/>
    <w:rsid w:val="00253C36"/>
    <w:rsid w:val="00265BEC"/>
    <w:rsid w:val="002A4211"/>
    <w:rsid w:val="002C6952"/>
    <w:rsid w:val="002E6E3E"/>
    <w:rsid w:val="003A59EB"/>
    <w:rsid w:val="003B7479"/>
    <w:rsid w:val="003D4C8C"/>
    <w:rsid w:val="00421E17"/>
    <w:rsid w:val="004540C9"/>
    <w:rsid w:val="00497529"/>
    <w:rsid w:val="004F628E"/>
    <w:rsid w:val="005835F7"/>
    <w:rsid w:val="005945E1"/>
    <w:rsid w:val="00602034"/>
    <w:rsid w:val="006224D6"/>
    <w:rsid w:val="00653863"/>
    <w:rsid w:val="0068335C"/>
    <w:rsid w:val="00687B29"/>
    <w:rsid w:val="006C5B50"/>
    <w:rsid w:val="006D0BD3"/>
    <w:rsid w:val="0071671B"/>
    <w:rsid w:val="00723E4A"/>
    <w:rsid w:val="00744DF5"/>
    <w:rsid w:val="007F0F20"/>
    <w:rsid w:val="00834F4A"/>
    <w:rsid w:val="0084255E"/>
    <w:rsid w:val="0085382E"/>
    <w:rsid w:val="00864BDD"/>
    <w:rsid w:val="008A68ED"/>
    <w:rsid w:val="008B5C9A"/>
    <w:rsid w:val="008F4D60"/>
    <w:rsid w:val="008F6388"/>
    <w:rsid w:val="0096139C"/>
    <w:rsid w:val="009C1901"/>
    <w:rsid w:val="009F05FA"/>
    <w:rsid w:val="009F3944"/>
    <w:rsid w:val="00A32DFF"/>
    <w:rsid w:val="00A7736B"/>
    <w:rsid w:val="00AF08C7"/>
    <w:rsid w:val="00B717AB"/>
    <w:rsid w:val="00BD5A1A"/>
    <w:rsid w:val="00C13E0E"/>
    <w:rsid w:val="00C60784"/>
    <w:rsid w:val="00C61A43"/>
    <w:rsid w:val="00CA5C24"/>
    <w:rsid w:val="00D36060"/>
    <w:rsid w:val="00D413C6"/>
    <w:rsid w:val="00D7452F"/>
    <w:rsid w:val="00DA7A59"/>
    <w:rsid w:val="00E903E9"/>
    <w:rsid w:val="00E93158"/>
    <w:rsid w:val="00EB55DE"/>
    <w:rsid w:val="019B2ECB"/>
    <w:rsid w:val="01CA5A95"/>
    <w:rsid w:val="02B96468"/>
    <w:rsid w:val="06CE3AE3"/>
    <w:rsid w:val="07A27CB8"/>
    <w:rsid w:val="08BD6586"/>
    <w:rsid w:val="0A544258"/>
    <w:rsid w:val="0AAC0731"/>
    <w:rsid w:val="0C0C017B"/>
    <w:rsid w:val="0D6B43A8"/>
    <w:rsid w:val="0D7675A0"/>
    <w:rsid w:val="110765F0"/>
    <w:rsid w:val="14F43D58"/>
    <w:rsid w:val="1588321A"/>
    <w:rsid w:val="158C4BBC"/>
    <w:rsid w:val="19991916"/>
    <w:rsid w:val="1A9E2DFF"/>
    <w:rsid w:val="1B2D665E"/>
    <w:rsid w:val="1E5439C8"/>
    <w:rsid w:val="1E973964"/>
    <w:rsid w:val="203176E0"/>
    <w:rsid w:val="27885BF1"/>
    <w:rsid w:val="28415903"/>
    <w:rsid w:val="28697A58"/>
    <w:rsid w:val="290F25F7"/>
    <w:rsid w:val="2AA809EC"/>
    <w:rsid w:val="2BBC43F6"/>
    <w:rsid w:val="3175714F"/>
    <w:rsid w:val="33016EEC"/>
    <w:rsid w:val="34257B9A"/>
    <w:rsid w:val="35382DFA"/>
    <w:rsid w:val="368F1515"/>
    <w:rsid w:val="376D6345"/>
    <w:rsid w:val="382114CC"/>
    <w:rsid w:val="38CE3147"/>
    <w:rsid w:val="397160F3"/>
    <w:rsid w:val="3A925E6C"/>
    <w:rsid w:val="3C5E53AF"/>
    <w:rsid w:val="3CA204BF"/>
    <w:rsid w:val="3F921DB4"/>
    <w:rsid w:val="423F2B8D"/>
    <w:rsid w:val="42BC3428"/>
    <w:rsid w:val="43060390"/>
    <w:rsid w:val="43E30CA1"/>
    <w:rsid w:val="453A139E"/>
    <w:rsid w:val="45AE08C8"/>
    <w:rsid w:val="466113E4"/>
    <w:rsid w:val="480D18AD"/>
    <w:rsid w:val="4A580AB5"/>
    <w:rsid w:val="4DD2750D"/>
    <w:rsid w:val="4E8A1436"/>
    <w:rsid w:val="4EA97D5B"/>
    <w:rsid w:val="4EF83E1F"/>
    <w:rsid w:val="4FEF0E2D"/>
    <w:rsid w:val="50BB66E3"/>
    <w:rsid w:val="521D4F6D"/>
    <w:rsid w:val="526D1ACB"/>
    <w:rsid w:val="53F242EF"/>
    <w:rsid w:val="55A92091"/>
    <w:rsid w:val="588432BC"/>
    <w:rsid w:val="598A4AA9"/>
    <w:rsid w:val="5B3A65A0"/>
    <w:rsid w:val="5C087B2C"/>
    <w:rsid w:val="5CB033BE"/>
    <w:rsid w:val="5DDC67DE"/>
    <w:rsid w:val="5E097B9C"/>
    <w:rsid w:val="5EBF2F2B"/>
    <w:rsid w:val="5FFE7AA2"/>
    <w:rsid w:val="614E5143"/>
    <w:rsid w:val="6C3057D4"/>
    <w:rsid w:val="6CCE7F1D"/>
    <w:rsid w:val="6D1E6129"/>
    <w:rsid w:val="6D4F64CA"/>
    <w:rsid w:val="6DFD034F"/>
    <w:rsid w:val="6ECC2B2D"/>
    <w:rsid w:val="71C62AB1"/>
    <w:rsid w:val="7229553C"/>
    <w:rsid w:val="72DC3727"/>
    <w:rsid w:val="72F04C82"/>
    <w:rsid w:val="73000A6D"/>
    <w:rsid w:val="74102438"/>
    <w:rsid w:val="75A16751"/>
    <w:rsid w:val="76C77417"/>
    <w:rsid w:val="779A20E1"/>
    <w:rsid w:val="7ABC1F6F"/>
    <w:rsid w:val="7E45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0"/>
    <w:pPr>
      <w:keepNext/>
      <w:keepLines/>
      <w:numPr>
        <w:ilvl w:val="0"/>
        <w:numId w:val="1"/>
      </w:numPr>
      <w:spacing w:before="340" w:after="330" w:line="576" w:lineRule="auto"/>
      <w:outlineLvl w:val="0"/>
    </w:pPr>
    <w:rPr>
      <w:b/>
      <w:kern w:val="44"/>
      <w:sz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6">
    <w:name w:val="Normal Indent"/>
    <w:basedOn w:val="1"/>
    <w:next w:val="1"/>
    <w:qFormat/>
    <w:uiPriority w:val="0"/>
    <w:pPr>
      <w:ind w:firstLine="420" w:firstLineChars="200"/>
    </w:pPr>
  </w:style>
  <w:style w:type="paragraph" w:styleId="7">
    <w:name w:val="annotation text"/>
    <w:basedOn w:val="1"/>
    <w:link w:val="26"/>
    <w:semiHidden/>
    <w:unhideWhenUsed/>
    <w:qFormat/>
    <w:uiPriority w:val="99"/>
    <w:pPr>
      <w:jc w:val="left"/>
    </w:pPr>
  </w:style>
  <w:style w:type="paragraph" w:styleId="8">
    <w:name w:val="Body Text"/>
    <w:basedOn w:val="1"/>
    <w:next w:val="1"/>
    <w:qFormat/>
    <w:uiPriority w:val="1"/>
    <w:pPr>
      <w:ind w:left="149"/>
    </w:pPr>
    <w:rPr>
      <w:rFonts w:ascii="宋体" w:hAnsi="宋体" w:eastAsia="宋体"/>
      <w:szCs w:val="21"/>
    </w:rPr>
  </w:style>
  <w:style w:type="paragraph" w:styleId="9">
    <w:name w:val="footer"/>
    <w:basedOn w:val="1"/>
    <w:link w:val="32"/>
    <w:unhideWhenUsed/>
    <w:qFormat/>
    <w:uiPriority w:val="99"/>
    <w:pPr>
      <w:tabs>
        <w:tab w:val="center" w:pos="4153"/>
        <w:tab w:val="right" w:pos="8306"/>
      </w:tabs>
      <w:snapToGrid w:val="0"/>
      <w:jc w:val="left"/>
    </w:pPr>
    <w:rPr>
      <w:sz w:val="18"/>
      <w:szCs w:val="18"/>
    </w:rPr>
  </w:style>
  <w:style w:type="paragraph" w:styleId="10">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toc 2"/>
    <w:basedOn w:val="1"/>
    <w:next w:val="1"/>
    <w:semiHidden/>
    <w:unhideWhenUsed/>
    <w:qFormat/>
    <w:uiPriority w:val="39"/>
    <w:pPr>
      <w:ind w:left="420" w:leftChars="200"/>
    </w:pPr>
  </w:style>
  <w:style w:type="paragraph" w:styleId="13">
    <w:name w:val="annotation subject"/>
    <w:basedOn w:val="7"/>
    <w:next w:val="7"/>
    <w:link w:val="27"/>
    <w:semiHidden/>
    <w:unhideWhenUsed/>
    <w:qFormat/>
    <w:uiPriority w:val="99"/>
    <w:rPr>
      <w:b/>
      <w:bCs/>
    </w:rPr>
  </w:style>
  <w:style w:type="paragraph" w:styleId="14">
    <w:name w:val="Body Text First Indent"/>
    <w:basedOn w:val="8"/>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qFormat/>
    <w:uiPriority w:val="99"/>
    <w:rPr>
      <w:sz w:val="21"/>
      <w:szCs w:val="21"/>
    </w:rPr>
  </w:style>
  <w:style w:type="paragraph" w:customStyle="1" w:styleId="19">
    <w:name w:val="正文正"/>
    <w:basedOn w:val="1"/>
    <w:qFormat/>
    <w:uiPriority w:val="99"/>
    <w:pPr>
      <w:spacing w:line="560" w:lineRule="exact"/>
      <w:ind w:firstLine="561"/>
    </w:pPr>
    <w:rPr>
      <w:rFonts w:eastAsia="仿宋_GB2312"/>
      <w:sz w:val="28"/>
    </w:rPr>
  </w:style>
  <w:style w:type="paragraph" w:customStyle="1" w:styleId="20">
    <w:name w:val="表格文字"/>
    <w:basedOn w:val="1"/>
    <w:qFormat/>
    <w:uiPriority w:val="0"/>
    <w:pPr>
      <w:spacing w:before="25" w:after="25"/>
      <w:jc w:val="left"/>
    </w:pPr>
    <w:rPr>
      <w:rFonts w:ascii="Times New Roman" w:hAnsi="Times New Roman"/>
      <w:bCs/>
      <w:spacing w:val="10"/>
      <w:kern w:val="0"/>
      <w:sz w:val="24"/>
      <w:szCs w:val="20"/>
    </w:rPr>
  </w:style>
  <w:style w:type="character" w:customStyle="1" w:styleId="21">
    <w:name w:val="标题 1 字符"/>
    <w:basedOn w:val="17"/>
    <w:link w:val="3"/>
    <w:qFormat/>
    <w:uiPriority w:val="0"/>
    <w:rPr>
      <w:b/>
      <w:kern w:val="44"/>
      <w:sz w:val="44"/>
      <w:szCs w:val="24"/>
    </w:rPr>
  </w:style>
  <w:style w:type="character" w:customStyle="1" w:styleId="22">
    <w:name w:val="标题 2 字符"/>
    <w:basedOn w:val="17"/>
    <w:link w:val="4"/>
    <w:qFormat/>
    <w:uiPriority w:val="9"/>
    <w:rPr>
      <w:rFonts w:asciiTheme="majorHAnsi" w:hAnsiTheme="majorHAnsi" w:eastAsiaTheme="majorEastAsia" w:cstheme="majorBidi"/>
      <w:b/>
      <w:bCs/>
      <w:sz w:val="32"/>
      <w:szCs w:val="32"/>
    </w:rPr>
  </w:style>
  <w:style w:type="character" w:customStyle="1" w:styleId="23">
    <w:name w:val="标题 3 字符"/>
    <w:basedOn w:val="17"/>
    <w:link w:val="5"/>
    <w:qFormat/>
    <w:uiPriority w:val="9"/>
    <w:rPr>
      <w:b/>
      <w:bCs/>
      <w:kern w:val="2"/>
      <w:sz w:val="32"/>
      <w:szCs w:val="32"/>
    </w:rPr>
  </w:style>
  <w:style w:type="paragraph" w:customStyle="1" w:styleId="24">
    <w:name w:val="正文_0"/>
    <w:qFormat/>
    <w:uiPriority w:val="0"/>
    <w:pPr>
      <w:widowControl w:val="0"/>
      <w:spacing w:after="200" w:line="360" w:lineRule="auto"/>
      <w:jc w:val="both"/>
    </w:pPr>
    <w:rPr>
      <w:rFonts w:ascii="Calibri" w:hAnsi="Calibri" w:eastAsia="宋体" w:cs="Times New Roman"/>
      <w:kern w:val="2"/>
      <w:sz w:val="24"/>
      <w:szCs w:val="22"/>
      <w:lang w:val="en-US" w:eastAsia="zh-CN" w:bidi="ar-SA"/>
    </w:rPr>
  </w:style>
  <w:style w:type="paragraph" w:customStyle="1" w:styleId="25">
    <w:name w:val="正文_9"/>
    <w:qFormat/>
    <w:uiPriority w:val="0"/>
    <w:pPr>
      <w:widowControl w:val="0"/>
      <w:jc w:val="both"/>
    </w:pPr>
    <w:rPr>
      <w:rFonts w:ascii="Calibri" w:hAnsi="Calibri" w:eastAsia="宋体" w:cs="Times New Roman"/>
      <w:kern w:val="2"/>
      <w:sz w:val="21"/>
      <w:szCs w:val="22"/>
      <w:lang w:val="en-US" w:eastAsia="zh-CN" w:bidi="ar-SA"/>
    </w:rPr>
  </w:style>
  <w:style w:type="character" w:customStyle="1" w:styleId="26">
    <w:name w:val="批注文字 字符"/>
    <w:basedOn w:val="17"/>
    <w:link w:val="7"/>
    <w:semiHidden/>
    <w:qFormat/>
    <w:uiPriority w:val="99"/>
    <w:rPr>
      <w:szCs w:val="24"/>
    </w:rPr>
  </w:style>
  <w:style w:type="character" w:customStyle="1" w:styleId="27">
    <w:name w:val="批注主题 字符"/>
    <w:basedOn w:val="26"/>
    <w:link w:val="13"/>
    <w:semiHidden/>
    <w:qFormat/>
    <w:uiPriority w:val="99"/>
    <w:rPr>
      <w:b/>
      <w:bCs/>
      <w:szCs w:val="24"/>
    </w:rPr>
  </w:style>
  <w:style w:type="character" w:customStyle="1" w:styleId="28">
    <w:name w:val="font41"/>
    <w:basedOn w:val="17"/>
    <w:qFormat/>
    <w:uiPriority w:val="0"/>
    <w:rPr>
      <w:rFonts w:hint="eastAsia" w:ascii="微软雅黑" w:hAnsi="微软雅黑" w:eastAsia="微软雅黑"/>
      <w:color w:val="000000"/>
      <w:sz w:val="20"/>
      <w:szCs w:val="20"/>
      <w:u w:val="none"/>
    </w:rPr>
  </w:style>
  <w:style w:type="character" w:customStyle="1" w:styleId="29">
    <w:name w:val="font91"/>
    <w:basedOn w:val="17"/>
    <w:qFormat/>
    <w:uiPriority w:val="0"/>
    <w:rPr>
      <w:rFonts w:hint="eastAsia" w:ascii="微软雅黑" w:hAnsi="微软雅黑" w:eastAsia="微软雅黑"/>
      <w:color w:val="000000"/>
      <w:sz w:val="21"/>
      <w:szCs w:val="21"/>
      <w:u w:val="none"/>
    </w:rPr>
  </w:style>
  <w:style w:type="paragraph" w:styleId="30">
    <w:name w:val="List Paragraph"/>
    <w:basedOn w:val="1"/>
    <w:qFormat/>
    <w:uiPriority w:val="99"/>
    <w:pPr>
      <w:ind w:firstLine="420" w:firstLineChars="200"/>
    </w:pPr>
  </w:style>
  <w:style w:type="character" w:customStyle="1" w:styleId="31">
    <w:name w:val="页眉 字符"/>
    <w:basedOn w:val="17"/>
    <w:link w:val="10"/>
    <w:qFormat/>
    <w:uiPriority w:val="99"/>
    <w:rPr>
      <w:kern w:val="2"/>
      <w:sz w:val="18"/>
      <w:szCs w:val="18"/>
    </w:rPr>
  </w:style>
  <w:style w:type="character" w:customStyle="1" w:styleId="32">
    <w:name w:val="页脚 字符"/>
    <w:basedOn w:val="17"/>
    <w:link w:val="9"/>
    <w:qFormat/>
    <w:uiPriority w:val="99"/>
    <w:rPr>
      <w:kern w:val="2"/>
      <w:sz w:val="18"/>
      <w:szCs w:val="18"/>
    </w:rPr>
  </w:style>
  <w:style w:type="character" w:customStyle="1" w:styleId="33">
    <w:name w:val="font31"/>
    <w:basedOn w:val="17"/>
    <w:qFormat/>
    <w:uiPriority w:val="0"/>
    <w:rPr>
      <w:rFonts w:hint="eastAsia" w:ascii="宋体" w:hAnsi="宋体" w:eastAsia="宋体" w:cs="宋体"/>
      <w:color w:val="000000"/>
      <w:sz w:val="18"/>
      <w:szCs w:val="18"/>
      <w:u w:val="none"/>
    </w:rPr>
  </w:style>
  <w:style w:type="character" w:customStyle="1" w:styleId="34">
    <w:name w:val="font131"/>
    <w:basedOn w:val="17"/>
    <w:qFormat/>
    <w:uiPriority w:val="0"/>
    <w:rPr>
      <w:rFonts w:hint="eastAsia" w:ascii="宋体" w:hAnsi="宋体" w:eastAsia="宋体" w:cs="宋体"/>
      <w:color w:val="000000"/>
      <w:sz w:val="18"/>
      <w:szCs w:val="18"/>
      <w:u w:val="none"/>
      <w:vertAlign w:val="superscript"/>
    </w:rPr>
  </w:style>
  <w:style w:type="character" w:customStyle="1" w:styleId="35">
    <w:name w:val="font141"/>
    <w:basedOn w:val="17"/>
    <w:qFormat/>
    <w:uiPriority w:val="0"/>
    <w:rPr>
      <w:rFonts w:hint="eastAsia" w:ascii="宋体" w:hAnsi="宋体" w:eastAsia="宋体" w:cs="宋体"/>
      <w:color w:val="000000"/>
      <w:sz w:val="20"/>
      <w:szCs w:val="20"/>
      <w:u w:val="none"/>
      <w:vertAlign w:val="superscript"/>
    </w:rPr>
  </w:style>
  <w:style w:type="paragraph" w:customStyle="1" w:styleId="36">
    <w:name w:val="Normal_34"/>
    <w:qFormat/>
    <w:uiPriority w:val="0"/>
    <w:rPr>
      <w:rFonts w:ascii="Times New Roman" w:hAnsi="Times New Roman" w:eastAsia="Times New Roman" w:cs="Times New Roman"/>
      <w:sz w:val="24"/>
      <w:szCs w:val="24"/>
      <w:lang w:val="en-US" w:eastAsia="zh-CN" w:bidi="ar-SA"/>
    </w:rPr>
  </w:style>
  <w:style w:type="paragraph" w:customStyle="1" w:styleId="37">
    <w:name w:val="Table Paragraph"/>
    <w:basedOn w:val="1"/>
    <w:qFormat/>
    <w:uiPriority w:val="1"/>
  </w:style>
  <w:style w:type="paragraph" w:customStyle="1" w:styleId="38">
    <w:name w:val="正文_0_0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6188</Words>
  <Characters>8389</Characters>
  <Lines>73</Lines>
  <Paragraphs>20</Paragraphs>
  <TotalTime>0</TotalTime>
  <ScaleCrop>false</ScaleCrop>
  <LinksUpToDate>false</LinksUpToDate>
  <CharactersWithSpaces>8396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2021-04-01T01:34:00Z</dcterms:created>
  <dc:creator>陈 佳贤</dc:creator>
  <cp:lastModifiedBy>Space</cp:lastModifiedBy>
  <cp:lastPrinted>2021-04-08T02:27:00Z</cp:lastPrinted>
  <dcterms:modified xsi:type="dcterms:W3CDTF">2023-06-19T04:05:57Z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3D07849331494C4F8E507DF7E9EB18EB</vt:lpwstr>
  </property>
</Properties>
</file>